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7CE40" w14:textId="13D826B7" w:rsidR="00BD49F0" w:rsidRDefault="00BD49F0" w:rsidP="00BD49F0">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t>R1-</w:t>
      </w:r>
      <w:r w:rsidR="00D00134" w:rsidRPr="00D00134">
        <w:rPr>
          <w:rFonts w:ascii="Arial" w:hAnsi="Arial" w:cs="Arial"/>
          <w:b/>
          <w:bCs/>
          <w:sz w:val="28"/>
        </w:rPr>
        <w:t>1705011</w:t>
      </w:r>
    </w:p>
    <w:p w14:paraId="61203601" w14:textId="77777777" w:rsidR="00BD49F0" w:rsidRDefault="00BD49F0" w:rsidP="00BD49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6AF0B103" w14:textId="77777777" w:rsidR="00921EBD" w:rsidRPr="000A64D8" w:rsidRDefault="00921EBD" w:rsidP="00921EBD">
      <w:pPr>
        <w:pStyle w:val="Footer"/>
        <w:jc w:val="both"/>
        <w:rPr>
          <w:noProof w:val="0"/>
        </w:rPr>
      </w:pPr>
    </w:p>
    <w:p w14:paraId="43B7F87C" w14:textId="52ABA1B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21B5B" w:rsidRPr="00BD49F0">
        <w:rPr>
          <w:rFonts w:ascii="Arial" w:hAnsi="Arial"/>
          <w:sz w:val="24"/>
        </w:rPr>
        <w:t>7</w:t>
      </w:r>
      <w:r w:rsidR="00CA6BDF" w:rsidRPr="00BD49F0">
        <w:rPr>
          <w:rFonts w:ascii="Arial" w:hAnsi="Arial"/>
          <w:sz w:val="24"/>
        </w:rPr>
        <w:t>.</w:t>
      </w:r>
      <w:r w:rsidR="00D21B5B" w:rsidRPr="00BD49F0">
        <w:rPr>
          <w:rFonts w:ascii="Arial" w:hAnsi="Arial"/>
          <w:sz w:val="24"/>
        </w:rPr>
        <w:t>2</w:t>
      </w:r>
      <w:r w:rsidR="00CA6BDF" w:rsidRPr="00BD49F0">
        <w:rPr>
          <w:rFonts w:ascii="Arial" w:hAnsi="Arial"/>
          <w:sz w:val="24"/>
        </w:rPr>
        <w:t>.</w:t>
      </w:r>
      <w:r w:rsidR="00D21B5B" w:rsidRPr="00BD49F0">
        <w:rPr>
          <w:rFonts w:ascii="Arial" w:hAnsi="Arial"/>
          <w:sz w:val="24"/>
        </w:rPr>
        <w:t>6</w:t>
      </w:r>
      <w:r w:rsidR="003711C5" w:rsidRPr="00BD49F0">
        <w:rPr>
          <w:rFonts w:ascii="Arial" w:hAnsi="Arial"/>
          <w:sz w:val="24"/>
        </w:rPr>
        <w:t>.</w:t>
      </w:r>
      <w:r w:rsidR="00D21B5B" w:rsidRPr="00BD49F0">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7FA96CB" w:rsidR="00C10599" w:rsidRPr="00BD49F0"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1B5B" w:rsidRPr="00BD49F0">
        <w:rPr>
          <w:rFonts w:ascii="Arial" w:hAnsi="Arial"/>
          <w:sz w:val="24"/>
        </w:rPr>
        <w:t>Reduced system acquisition time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68A5EBE" w14:textId="527F4804" w:rsidR="000642AF" w:rsidRDefault="00887F6D" w:rsidP="004503F9">
      <w:pPr>
        <w:jc w:val="both"/>
      </w:pPr>
      <w:r>
        <w:rPr>
          <w:rFonts w:cs="Arial"/>
        </w:rPr>
        <w:t xml:space="preserve">The </w:t>
      </w:r>
      <w:r w:rsidR="007F75A3">
        <w:rPr>
          <w:rFonts w:cs="Arial"/>
        </w:rPr>
        <w:t xml:space="preserve">recent </w:t>
      </w:r>
      <w:r>
        <w:rPr>
          <w:rFonts w:cs="Arial"/>
        </w:rPr>
        <w:t xml:space="preserve">study in </w:t>
      </w:r>
      <w:r w:rsidR="00DD234D">
        <w:rPr>
          <w:rFonts w:cs="Arial"/>
        </w:rPr>
        <w:t xml:space="preserve">RAN4 has </w:t>
      </w:r>
      <w:r w:rsidR="007F75A3">
        <w:rPr>
          <w:rFonts w:cs="Arial"/>
        </w:rPr>
        <w:t>showed</w:t>
      </w:r>
      <w:r w:rsidR="00DD234D">
        <w:rPr>
          <w:rFonts w:cs="Arial"/>
        </w:rPr>
        <w:t xml:space="preserve"> </w:t>
      </w:r>
      <w:r w:rsidR="00DD234D">
        <w:t>that the</w:t>
      </w:r>
      <w:r w:rsidR="000642AF">
        <w:t xml:space="preserve"> delay of </w:t>
      </w:r>
      <w:r w:rsidR="00DD234D">
        <w:t xml:space="preserve">acquiring </w:t>
      </w:r>
      <w:r w:rsidR="000642AF">
        <w:t xml:space="preserve">the MIB and SIB1 </w:t>
      </w:r>
      <w:r w:rsidR="00EB54BC">
        <w:t xml:space="preserve">in </w:t>
      </w:r>
      <w:proofErr w:type="spellStart"/>
      <w:r w:rsidR="00EB54BC">
        <w:t>eMTC</w:t>
      </w:r>
      <w:proofErr w:type="spellEnd"/>
      <w:r w:rsidR="00EB54BC">
        <w:t xml:space="preserve"> </w:t>
      </w:r>
      <w:r w:rsidR="000642AF">
        <w:t>may become greater than or equal to the SIB1</w:t>
      </w:r>
      <w:r w:rsidR="00C7320B">
        <w:t xml:space="preserve"> </w:t>
      </w:r>
      <w:r w:rsidR="000642AF">
        <w:t>modification boundary, and then the UE may have to re-acquire the MIB</w:t>
      </w:r>
      <w:r w:rsidR="00DD234D">
        <w:t xml:space="preserve"> </w:t>
      </w:r>
      <w:r w:rsidR="00C7320B">
        <w:fldChar w:fldCharType="begin"/>
      </w:r>
      <w:r w:rsidR="00C7320B">
        <w:instrText xml:space="preserve"> REF _Ref477595337 \r \h </w:instrText>
      </w:r>
      <w:r w:rsidR="00C7320B">
        <w:fldChar w:fldCharType="separate"/>
      </w:r>
      <w:r w:rsidR="00C7320B">
        <w:t>[1]</w:t>
      </w:r>
      <w:r w:rsidR="00C7320B">
        <w:fldChar w:fldCharType="end"/>
      </w:r>
      <w:r w:rsidR="00DD234D">
        <w:t>.</w:t>
      </w:r>
      <w:r w:rsidR="00C7320B">
        <w:t xml:space="preserve"> </w:t>
      </w:r>
      <w:r w:rsidR="003A0DF4">
        <w:t xml:space="preserve">The acquisition latency could be very long especially when the device is in deep coverage or when the device is acquiring the system information from neighbor cells. </w:t>
      </w:r>
      <w:r w:rsidR="00C7320B">
        <w:t>This contribution discusses some enhancements</w:t>
      </w:r>
      <w:r w:rsidR="00EB54BC">
        <w:t xml:space="preserve"> </w:t>
      </w:r>
      <w:r w:rsidR="00C7320B">
        <w:t xml:space="preserve">to shorten the </w:t>
      </w:r>
      <w:r w:rsidR="00EB54BC">
        <w:t xml:space="preserve">system information acquisition time for </w:t>
      </w:r>
      <w:proofErr w:type="spellStart"/>
      <w:r w:rsidR="00EB54BC">
        <w:t>eMTC</w:t>
      </w:r>
      <w:proofErr w:type="spellEnd"/>
      <w:r w:rsidR="00EB54BC">
        <w:t>.</w:t>
      </w:r>
      <w:r w:rsidR="007F75A3">
        <w:t xml:space="preserve"> More specifically, we are discussing the enhancements to acquire time and frequency as well as system information </w:t>
      </w:r>
      <w:r w:rsidR="00305140">
        <w:t xml:space="preserve">faster for </w:t>
      </w:r>
      <w:proofErr w:type="spellStart"/>
      <w:r w:rsidR="00305140">
        <w:t>eMTC</w:t>
      </w:r>
      <w:proofErr w:type="spellEnd"/>
      <w:r w:rsidR="00305140">
        <w:t>.</w:t>
      </w:r>
      <w:r w:rsidR="00D23748">
        <w:t xml:space="preserve"> </w:t>
      </w:r>
    </w:p>
    <w:p w14:paraId="0D641404" w14:textId="27418EBD" w:rsidR="00E57623" w:rsidRDefault="00F818A0" w:rsidP="00C9638E">
      <w:pPr>
        <w:pStyle w:val="Heading1"/>
      </w:pPr>
      <w:r>
        <w:t>Synchronization signal acquisition</w:t>
      </w:r>
    </w:p>
    <w:p w14:paraId="715489C4" w14:textId="2F829AD4" w:rsidR="00305140" w:rsidRDefault="00305140" w:rsidP="00F739A0">
      <w:pPr>
        <w:tabs>
          <w:tab w:val="num" w:pos="1440"/>
        </w:tabs>
      </w:pPr>
      <w:proofErr w:type="spellStart"/>
      <w:proofErr w:type="gramStart"/>
      <w:r>
        <w:t>eMTC</w:t>
      </w:r>
      <w:proofErr w:type="spellEnd"/>
      <w:proofErr w:type="gramEnd"/>
      <w:r>
        <w:t xml:space="preserve"> relies on the Rel. 8 synchronization signals e.g., PSS/SSS for time and frequency synchronization. PSS/SSS occupies the center 6 resources blocks and two OFDM symbols. One way to shorten the synchronization signal acquisition time is to power-boost the PSS/SSS. However, PSS/SSS are not amenable to the power boost</w:t>
      </w:r>
      <w:r w:rsidR="00BD49F0">
        <w:t>, since they only use 2 OFDM symbols and thus power boosting by e.g. 6 dB would require grabbing power from 18 PRBs in only these two symbols</w:t>
      </w:r>
      <w:r>
        <w:t xml:space="preserve">. </w:t>
      </w:r>
      <w:r w:rsidR="00CB5F9B">
        <w:t>Furthermore, the MIB TTI is also 40ms e.g., MIB changes every 40ms.</w:t>
      </w:r>
      <w:r w:rsidR="00BD49F0">
        <w:t xml:space="preserve"> Although additional repetitions were added in Rel-13 for </w:t>
      </w:r>
      <w:proofErr w:type="spellStart"/>
      <w:r w:rsidR="00BD49F0">
        <w:t>eMTC</w:t>
      </w:r>
      <w:proofErr w:type="spellEnd"/>
      <w:r w:rsidR="00BD49F0">
        <w:t>, these may not be enough to achieve satisfactory performance.</w:t>
      </w:r>
    </w:p>
    <w:p w14:paraId="0F24B5FE" w14:textId="407A8A56" w:rsidR="00B07609" w:rsidRDefault="0016104A" w:rsidP="00B07609">
      <w:pPr>
        <w:tabs>
          <w:tab w:val="num" w:pos="1440"/>
        </w:tabs>
      </w:pPr>
      <w:r>
        <w:t xml:space="preserve">On the other hand, for NB-IOT, </w:t>
      </w:r>
      <w:r w:rsidR="00B07609" w:rsidRPr="00D437CB">
        <w:t xml:space="preserve">NB-PSS/NB-SSS </w:t>
      </w:r>
      <w:r w:rsidR="00B07609">
        <w:t>using</w:t>
      </w:r>
      <w:r w:rsidR="00B07609" w:rsidRPr="00D437CB">
        <w:t xml:space="preserve"> 11 OFDM symbols in 1RB </w:t>
      </w:r>
      <w:r w:rsidR="00B07609">
        <w:t>are designed for lower SNR.</w:t>
      </w:r>
      <w:r w:rsidR="00BD49F0">
        <w:t xml:space="preserve"> The MIB TTI is extended to a much longer periodicity (640ms), which allows soft combining of a higher number of repetitions.</w:t>
      </w:r>
      <w:r w:rsidR="00B07609">
        <w:t xml:space="preserve"> In addition, they are </w:t>
      </w:r>
      <w:r w:rsidR="00B07609" w:rsidRPr="00D437CB">
        <w:t>also better for power boosting</w:t>
      </w:r>
      <w:r w:rsidR="00B07609">
        <w:t xml:space="preserve"> e.g., w</w:t>
      </w:r>
      <w:r w:rsidR="00B07609" w:rsidRPr="00D437CB">
        <w:t>e can achieve 6dB power boosting by taking energy from 3 additional RBs</w:t>
      </w:r>
      <w:r w:rsidR="00B07609">
        <w:t xml:space="preserve">. </w:t>
      </w:r>
    </w:p>
    <w:p w14:paraId="7EE98DD1" w14:textId="3282BC7F" w:rsidR="00BD49F0" w:rsidRDefault="0016104A" w:rsidP="00BD49F0">
      <w:pPr>
        <w:tabs>
          <w:tab w:val="num" w:pos="1440"/>
        </w:tabs>
      </w:pPr>
      <w:r>
        <w:rPr>
          <w:b/>
          <w:u w:val="single"/>
          <w:lang w:eastAsia="ko-KR"/>
        </w:rPr>
        <w:t>Observation</w:t>
      </w:r>
      <w:r w:rsidRPr="00AE7BBF">
        <w:rPr>
          <w:b/>
          <w:u w:val="single"/>
          <w:lang w:eastAsia="ko-KR"/>
        </w:rPr>
        <w:t xml:space="preserve"> 1:</w:t>
      </w:r>
      <w:r w:rsidRPr="00F739A0">
        <w:t xml:space="preserve"> </w:t>
      </w:r>
      <w:r w:rsidR="00BD49F0">
        <w:t xml:space="preserve">Synchronization </w:t>
      </w:r>
      <w:r w:rsidR="009D2F20">
        <w:t>signals and PBCH</w:t>
      </w:r>
      <w:r w:rsidR="00BD49F0">
        <w:t xml:space="preserve"> for NB-</w:t>
      </w:r>
      <w:proofErr w:type="spellStart"/>
      <w:r w:rsidR="00BD49F0">
        <w:t>IoT</w:t>
      </w:r>
      <w:proofErr w:type="spellEnd"/>
      <w:r w:rsidR="00BD49F0">
        <w:t xml:space="preserve"> are more amenable to operating in low SNR conditions due to ease of power boosting and longer TTI.</w:t>
      </w:r>
    </w:p>
    <w:p w14:paraId="1C12E156" w14:textId="1C01363B" w:rsidR="00EB2877" w:rsidRDefault="00BD49F0" w:rsidP="00BD49F0">
      <w:pPr>
        <w:tabs>
          <w:tab w:val="num" w:pos="1440"/>
        </w:tabs>
      </w:pPr>
      <w:r>
        <w:t>In [2] a similar objective to improve acquisition time for NB-</w:t>
      </w:r>
      <w:proofErr w:type="spellStart"/>
      <w:r>
        <w:t>IoT</w:t>
      </w:r>
      <w:proofErr w:type="spellEnd"/>
      <w:r>
        <w:t xml:space="preserve"> is agreed. In our view, it would be beneficial to design a single acquisition signal/channel that would apply to NB-</w:t>
      </w:r>
      <w:proofErr w:type="spellStart"/>
      <w:r>
        <w:t>IoT</w:t>
      </w:r>
      <w:proofErr w:type="spellEnd"/>
      <w:r>
        <w:t xml:space="preserve"> and </w:t>
      </w:r>
      <w:proofErr w:type="spellStart"/>
      <w:r>
        <w:t>eMTC</w:t>
      </w:r>
      <w:proofErr w:type="spellEnd"/>
      <w:r>
        <w:t xml:space="preserve">. This would reduce specification effort in RAN1, and would also reduce overhead for operators deploying both </w:t>
      </w:r>
      <w:proofErr w:type="spellStart"/>
      <w:r>
        <w:t>eMTC</w:t>
      </w:r>
      <w:proofErr w:type="spellEnd"/>
      <w:r>
        <w:t xml:space="preserve"> and NB-</w:t>
      </w:r>
      <w:proofErr w:type="spellStart"/>
      <w:r>
        <w:t>IoT</w:t>
      </w:r>
      <w:proofErr w:type="spellEnd"/>
      <w:r>
        <w:t xml:space="preserve">. Note that if we introduce enhancements for </w:t>
      </w:r>
      <w:proofErr w:type="spellStart"/>
      <w:r>
        <w:t>eMTC</w:t>
      </w:r>
      <w:proofErr w:type="spellEnd"/>
      <w:r>
        <w:t xml:space="preserve"> and NB-</w:t>
      </w:r>
      <w:proofErr w:type="spellStart"/>
      <w:r>
        <w:t>IoT</w:t>
      </w:r>
      <w:proofErr w:type="spellEnd"/>
      <w:r>
        <w:t xml:space="preserve"> in a backwards compatible manner, the only way to enhance acquisition is by adding additional repetitions or denser signals, which in turn will increase the overhead. If instead of transmitting both </w:t>
      </w:r>
      <w:proofErr w:type="spellStart"/>
      <w:r>
        <w:t>eMTC</w:t>
      </w:r>
      <w:proofErr w:type="spellEnd"/>
      <w:r>
        <w:t xml:space="preserve"> and NB-</w:t>
      </w:r>
      <w:proofErr w:type="spellStart"/>
      <w:r>
        <w:t>IoT</w:t>
      </w:r>
      <w:proofErr w:type="spellEnd"/>
      <w:r>
        <w:t xml:space="preserve"> sync signals an </w:t>
      </w:r>
      <w:proofErr w:type="spellStart"/>
      <w:r>
        <w:t>eNB</w:t>
      </w:r>
      <w:proofErr w:type="spellEnd"/>
      <w:r>
        <w:t xml:space="preserve"> transmits only one of them, the overhead is automatically reduced. Also, f</w:t>
      </w:r>
      <w:r w:rsidR="00F739A0">
        <w:t xml:space="preserve">rom implementation perspective, </w:t>
      </w:r>
      <w:r w:rsidR="00F739A0" w:rsidRPr="00F739A0">
        <w:t>NB-</w:t>
      </w:r>
      <w:proofErr w:type="spellStart"/>
      <w:r w:rsidR="00F739A0" w:rsidRPr="00F739A0">
        <w:t>IoT</w:t>
      </w:r>
      <w:proofErr w:type="spellEnd"/>
      <w:r w:rsidR="00F739A0" w:rsidRPr="00F739A0">
        <w:t xml:space="preserve"> has lower complexity than </w:t>
      </w:r>
      <w:proofErr w:type="spellStart"/>
      <w:r w:rsidR="00F739A0" w:rsidRPr="00F739A0">
        <w:t>eMTC</w:t>
      </w:r>
      <w:proofErr w:type="spellEnd"/>
      <w:r w:rsidR="00F739A0">
        <w:t>. As a result, a</w:t>
      </w:r>
      <w:r w:rsidR="00F739A0" w:rsidRPr="00F739A0">
        <w:t xml:space="preserve">n </w:t>
      </w:r>
      <w:proofErr w:type="spellStart"/>
      <w:r w:rsidR="00F739A0" w:rsidRPr="00F739A0">
        <w:t>eMTC</w:t>
      </w:r>
      <w:proofErr w:type="spellEnd"/>
      <w:r w:rsidR="00F739A0" w:rsidRPr="00F739A0">
        <w:t xml:space="preserve"> UE should be able to implement</w:t>
      </w:r>
      <w:r w:rsidR="00F739A0">
        <w:t xml:space="preserve"> NB-</w:t>
      </w:r>
      <w:proofErr w:type="spellStart"/>
      <w:r w:rsidR="00F739A0">
        <w:t>IoT</w:t>
      </w:r>
      <w:proofErr w:type="spellEnd"/>
      <w:r w:rsidR="00F739A0">
        <w:t xml:space="preserve"> without additional cost</w:t>
      </w:r>
      <w:r>
        <w:t>.</w:t>
      </w:r>
      <w:r w:rsidR="00D00134">
        <w:t xml:space="preserve"> In Figure 1 we depict one particular example on how the NB-</w:t>
      </w:r>
      <w:proofErr w:type="spellStart"/>
      <w:r w:rsidR="00D00134">
        <w:t>IoT</w:t>
      </w:r>
      <w:proofErr w:type="spellEnd"/>
      <w:r w:rsidR="00D00134">
        <w:t xml:space="preserve"> signals can be exploited by an </w:t>
      </w:r>
      <w:proofErr w:type="spellStart"/>
      <w:r w:rsidR="00D00134">
        <w:t>eMTC</w:t>
      </w:r>
      <w:proofErr w:type="spellEnd"/>
      <w:r w:rsidR="00D00134">
        <w:t xml:space="preserve"> UE by adding SIB1-BR scheduling information to the NB-</w:t>
      </w:r>
      <w:proofErr w:type="spellStart"/>
      <w:r w:rsidR="00D00134">
        <w:t>IoT</w:t>
      </w:r>
      <w:proofErr w:type="spellEnd"/>
      <w:r w:rsidR="00D00134">
        <w:t xml:space="preserve"> MIB.</w:t>
      </w:r>
    </w:p>
    <w:p w14:paraId="096DF41E" w14:textId="77777777" w:rsidR="00D00134" w:rsidRDefault="00D00134" w:rsidP="00BD49F0">
      <w:pPr>
        <w:tabs>
          <w:tab w:val="num" w:pos="1440"/>
        </w:tabs>
      </w:pPr>
    </w:p>
    <w:p w14:paraId="507BF0B1" w14:textId="77777777" w:rsidR="00D00134" w:rsidRDefault="00D00134" w:rsidP="00D00134">
      <w:pPr>
        <w:keepNext/>
        <w:tabs>
          <w:tab w:val="num" w:pos="1440"/>
        </w:tabs>
        <w:jc w:val="center"/>
      </w:pPr>
      <w:r w:rsidRPr="00D00134">
        <w:object w:dxaOrig="8336" w:dyaOrig="1428" w14:anchorId="5DB10D52">
          <v:shape id="_x0000_i1025" type="#_x0000_t75" style="width:417pt;height:71.4pt" o:ole="">
            <v:imagedata r:id="rId12" o:title=""/>
          </v:shape>
          <o:OLEObject Type="Embed" ProgID="Visio.Drawing.11" ShapeID="_x0000_i1025" DrawAspect="Content" ObjectID="_1551889889" r:id="rId13"/>
        </w:object>
      </w:r>
    </w:p>
    <w:p w14:paraId="1C114BA3" w14:textId="5F12CD43" w:rsidR="00D00134" w:rsidRDefault="00D00134" w:rsidP="00D00134">
      <w:pPr>
        <w:pStyle w:val="Caption"/>
        <w:jc w:val="center"/>
      </w:pPr>
      <w:r>
        <w:t xml:space="preserve">Figure </w:t>
      </w:r>
      <w:r w:rsidR="008667D3">
        <w:fldChar w:fldCharType="begin"/>
      </w:r>
      <w:r w:rsidR="008667D3">
        <w:instrText xml:space="preserve"> SEQ Figure \* ARABIC </w:instrText>
      </w:r>
      <w:r w:rsidR="008667D3">
        <w:fldChar w:fldCharType="separate"/>
      </w:r>
      <w:r>
        <w:rPr>
          <w:noProof/>
        </w:rPr>
        <w:t>1</w:t>
      </w:r>
      <w:r w:rsidR="008667D3">
        <w:rPr>
          <w:noProof/>
        </w:rPr>
        <w:fldChar w:fldCharType="end"/>
      </w:r>
      <w:r>
        <w:t xml:space="preserve"> Example of using NB-</w:t>
      </w:r>
      <w:proofErr w:type="spellStart"/>
      <w:r>
        <w:t>IoT</w:t>
      </w:r>
      <w:proofErr w:type="spellEnd"/>
      <w:r>
        <w:t xml:space="preserve"> signals to acquire the </w:t>
      </w:r>
      <w:proofErr w:type="spellStart"/>
      <w:r>
        <w:t>eMTC</w:t>
      </w:r>
      <w:proofErr w:type="spellEnd"/>
      <w:r>
        <w:t xml:space="preserve"> cell. The PSS/SSS/PBCH are replaced by NPSS/NSSS/NPBCH, and after that SIB1-BR is decoded</w:t>
      </w:r>
    </w:p>
    <w:p w14:paraId="6651ED5B" w14:textId="77777777" w:rsidR="00D00134" w:rsidRDefault="00D00134" w:rsidP="00BD49F0">
      <w:pPr>
        <w:tabs>
          <w:tab w:val="num" w:pos="1440"/>
        </w:tabs>
      </w:pPr>
    </w:p>
    <w:p w14:paraId="1F1817AB" w14:textId="6DAB3907" w:rsidR="00BD49F0" w:rsidRPr="00D00134" w:rsidRDefault="00E11C31" w:rsidP="00E11C31">
      <w:pPr>
        <w:rPr>
          <w:b/>
        </w:rPr>
      </w:pPr>
      <w:r w:rsidRPr="00D00134">
        <w:rPr>
          <w:b/>
          <w:u w:val="single"/>
          <w:lang w:eastAsia="ko-KR"/>
        </w:rPr>
        <w:t>Proposal 1:</w:t>
      </w:r>
      <w:r w:rsidRPr="00D00134">
        <w:rPr>
          <w:b/>
          <w:lang w:eastAsia="ko-KR"/>
        </w:rPr>
        <w:t xml:space="preserve"> </w:t>
      </w:r>
      <w:r w:rsidR="00BD49F0" w:rsidRPr="00D00134">
        <w:rPr>
          <w:b/>
          <w:lang w:eastAsia="ko-KR"/>
        </w:rPr>
        <w:t xml:space="preserve">Allow an </w:t>
      </w:r>
      <w:proofErr w:type="spellStart"/>
      <w:r w:rsidR="00F739A0" w:rsidRPr="00D00134">
        <w:rPr>
          <w:b/>
        </w:rPr>
        <w:t>eMTC</w:t>
      </w:r>
      <w:proofErr w:type="spellEnd"/>
      <w:r w:rsidR="00F739A0" w:rsidRPr="00D00134">
        <w:rPr>
          <w:b/>
        </w:rPr>
        <w:t xml:space="preserve"> UE </w:t>
      </w:r>
      <w:r w:rsidR="00BD49F0" w:rsidRPr="00D00134">
        <w:rPr>
          <w:b/>
        </w:rPr>
        <w:t>to</w:t>
      </w:r>
      <w:r w:rsidR="00F739A0" w:rsidRPr="00D00134">
        <w:rPr>
          <w:b/>
        </w:rPr>
        <w:t xml:space="preserve"> use </w:t>
      </w:r>
      <w:r w:rsidR="00BD49F0" w:rsidRPr="00D00134">
        <w:rPr>
          <w:b/>
        </w:rPr>
        <w:t>N</w:t>
      </w:r>
      <w:r w:rsidR="00F739A0" w:rsidRPr="00D00134">
        <w:rPr>
          <w:b/>
        </w:rPr>
        <w:t>PSS/</w:t>
      </w:r>
      <w:r w:rsidR="00BD49F0" w:rsidRPr="00D00134">
        <w:rPr>
          <w:b/>
        </w:rPr>
        <w:t>N</w:t>
      </w:r>
      <w:r w:rsidR="00F739A0" w:rsidRPr="00D00134">
        <w:rPr>
          <w:b/>
        </w:rPr>
        <w:t>SSS/</w:t>
      </w:r>
      <w:r w:rsidR="00BD49F0" w:rsidRPr="00D00134">
        <w:rPr>
          <w:b/>
        </w:rPr>
        <w:t>N</w:t>
      </w:r>
      <w:r w:rsidR="00F739A0" w:rsidRPr="00D00134">
        <w:rPr>
          <w:b/>
        </w:rPr>
        <w:t xml:space="preserve">PBCH to </w:t>
      </w:r>
      <w:r w:rsidR="00BD49F0" w:rsidRPr="00D00134">
        <w:rPr>
          <w:b/>
        </w:rPr>
        <w:t>access a cell.</w:t>
      </w:r>
    </w:p>
    <w:p w14:paraId="1A53C740" w14:textId="42445165" w:rsidR="004C68FE" w:rsidRDefault="00F818A0" w:rsidP="004C68FE">
      <w:pPr>
        <w:pStyle w:val="Heading1"/>
      </w:pPr>
      <w:r>
        <w:t>System information acquisition</w:t>
      </w:r>
    </w:p>
    <w:p w14:paraId="2B616522" w14:textId="1EA399DB" w:rsidR="004C68FE" w:rsidRDefault="00205B7E" w:rsidP="004C68FE">
      <w:pPr>
        <w:rPr>
          <w:lang w:val="en-GB"/>
        </w:rPr>
      </w:pPr>
      <w:r>
        <w:rPr>
          <w:lang w:val="en-GB"/>
        </w:rPr>
        <w:t xml:space="preserve">Before acquiring system information, UE is required to read MIB carried in PBCH. The system information acquisition latency can be reduced if UE can skip reading SIB in some scenarios. More specifically, </w:t>
      </w:r>
      <w:r w:rsidR="00BD49F0">
        <w:rPr>
          <w:lang w:val="en-GB"/>
        </w:rPr>
        <w:t xml:space="preserve">it would be beneficial if </w:t>
      </w:r>
      <w:r>
        <w:rPr>
          <w:lang w:val="en-GB"/>
        </w:rPr>
        <w:t>MIB can contain some new information e.g.</w:t>
      </w:r>
      <w:r w:rsidR="008941BA">
        <w:rPr>
          <w:lang w:val="en-GB"/>
        </w:rPr>
        <w:t>, access class barring (ACB),</w:t>
      </w:r>
      <w:r>
        <w:rPr>
          <w:lang w:val="en-GB"/>
        </w:rPr>
        <w:t xml:space="preserve"> SI value tag</w:t>
      </w:r>
      <w:r w:rsidR="008941BA">
        <w:rPr>
          <w:lang w:val="en-GB"/>
        </w:rPr>
        <w:t xml:space="preserve"> or just one bit information</w:t>
      </w:r>
      <w:r>
        <w:rPr>
          <w:lang w:val="en-GB"/>
        </w:rPr>
        <w:t xml:space="preserve"> to signal whether UE can skip reading SIB or not.</w:t>
      </w:r>
    </w:p>
    <w:p w14:paraId="3935FFE0" w14:textId="30CD6D7A" w:rsidR="0091131A" w:rsidRPr="00D00134" w:rsidRDefault="005A000A" w:rsidP="0091131A">
      <w:pPr>
        <w:jc w:val="both"/>
        <w:rPr>
          <w:b/>
        </w:rPr>
      </w:pPr>
      <w:r w:rsidRPr="00D00134">
        <w:rPr>
          <w:b/>
          <w:u w:val="single"/>
          <w:lang w:eastAsia="ko-KR"/>
        </w:rPr>
        <w:t>Proposal 2:</w:t>
      </w:r>
      <w:r w:rsidRPr="00D00134">
        <w:rPr>
          <w:b/>
          <w:lang w:eastAsia="ko-KR"/>
        </w:rPr>
        <w:t xml:space="preserve"> </w:t>
      </w:r>
      <w:r w:rsidR="00BD49F0" w:rsidRPr="00D00134">
        <w:rPr>
          <w:b/>
          <w:lang w:eastAsia="ko-KR"/>
        </w:rPr>
        <w:t>Co</w:t>
      </w:r>
      <w:r w:rsidR="00886D03" w:rsidRPr="00D00134">
        <w:rPr>
          <w:b/>
          <w:lang w:eastAsia="ko-KR"/>
        </w:rPr>
        <w:t>nsider adding new information in</w:t>
      </w:r>
      <w:r w:rsidR="00BD49F0" w:rsidRPr="00D00134">
        <w:rPr>
          <w:b/>
          <w:lang w:eastAsia="ko-KR"/>
        </w:rPr>
        <w:t xml:space="preserve"> </w:t>
      </w:r>
      <w:r w:rsidRPr="00D00134">
        <w:rPr>
          <w:b/>
          <w:lang w:eastAsia="ko-KR"/>
        </w:rPr>
        <w:t xml:space="preserve">MIB </w:t>
      </w:r>
      <w:r w:rsidR="00BD49F0" w:rsidRPr="00D00134">
        <w:rPr>
          <w:b/>
          <w:lang w:eastAsia="ko-KR"/>
        </w:rPr>
        <w:t>to skip SIB reading.</w:t>
      </w:r>
    </w:p>
    <w:p w14:paraId="6950DC14" w14:textId="77777777" w:rsidR="0091131A" w:rsidRDefault="0091131A" w:rsidP="0091131A">
      <w:pPr>
        <w:jc w:val="both"/>
      </w:pPr>
    </w:p>
    <w:p w14:paraId="49371AE4" w14:textId="6B7B966D" w:rsidR="00106EEB" w:rsidRDefault="008E6D73" w:rsidP="0091131A">
      <w:pPr>
        <w:jc w:val="both"/>
      </w:pPr>
      <w:r>
        <w:t xml:space="preserve">Frequently </w:t>
      </w:r>
      <w:r w:rsidR="008D3AE8">
        <w:t xml:space="preserve">UE </w:t>
      </w:r>
      <w:r>
        <w:t xml:space="preserve">needs to </w:t>
      </w:r>
      <w:r w:rsidR="008D3AE8">
        <w:t>perform the neighbor cell search and reads the neighbor cell system information. This process may take a long acquisition latency especially when the UE is in the deep coverage.</w:t>
      </w:r>
      <w:r w:rsidR="00106EEB">
        <w:t xml:space="preserve"> To improve the acquisition time in such case, SIB of the serving cell may contain some new information e.g</w:t>
      </w:r>
      <w:proofErr w:type="gramStart"/>
      <w:r w:rsidR="00106EEB">
        <w:t>.,</w:t>
      </w:r>
      <w:proofErr w:type="gramEnd"/>
    </w:p>
    <w:p w14:paraId="292AA083" w14:textId="3CD4C9C2" w:rsidR="00C15749" w:rsidRPr="00B4742B" w:rsidRDefault="00106EEB" w:rsidP="00B4742B">
      <w:pPr>
        <w:pStyle w:val="ListParagraph"/>
        <w:numPr>
          <w:ilvl w:val="0"/>
          <w:numId w:val="14"/>
        </w:numPr>
        <w:jc w:val="both"/>
        <w:rPr>
          <w:rFonts w:ascii="Times New Roman" w:hAnsi="Times New Roman"/>
          <w:sz w:val="20"/>
        </w:rPr>
      </w:pPr>
      <w:r w:rsidRPr="00B4742B">
        <w:rPr>
          <w:rFonts w:ascii="Times New Roman" w:hAnsi="Times New Roman"/>
          <w:sz w:val="20"/>
        </w:rPr>
        <w:t xml:space="preserve">Serving cell SIB may contain information to indicate whether UE can skip reading MIB of the neighbor cells or not. </w:t>
      </w:r>
      <w:r w:rsidR="00B4742B" w:rsidRPr="00B4742B">
        <w:rPr>
          <w:rFonts w:ascii="Times New Roman" w:hAnsi="Times New Roman"/>
          <w:sz w:val="20"/>
        </w:rPr>
        <w:t xml:space="preserve">One example is that </w:t>
      </w:r>
      <w:proofErr w:type="spellStart"/>
      <w:r w:rsidR="00B4742B" w:rsidRPr="00B4742B">
        <w:rPr>
          <w:rFonts w:ascii="Times New Roman" w:hAnsi="Times New Roman"/>
          <w:sz w:val="20"/>
        </w:rPr>
        <w:t>eNB</w:t>
      </w:r>
      <w:proofErr w:type="spellEnd"/>
      <w:r w:rsidR="00B4742B" w:rsidRPr="00B4742B">
        <w:rPr>
          <w:rFonts w:ascii="Times New Roman" w:hAnsi="Times New Roman"/>
          <w:sz w:val="20"/>
        </w:rPr>
        <w:t xml:space="preserve"> signals neighbor </w:t>
      </w:r>
      <w:r w:rsidR="00BD49F0">
        <w:rPr>
          <w:rFonts w:ascii="Times New Roman" w:hAnsi="Times New Roman"/>
          <w:sz w:val="20"/>
        </w:rPr>
        <w:t>SFN</w:t>
      </w:r>
      <w:r w:rsidR="00B4742B" w:rsidRPr="00B4742B">
        <w:rPr>
          <w:rFonts w:ascii="Times New Roman" w:hAnsi="Times New Roman"/>
          <w:sz w:val="20"/>
        </w:rPr>
        <w:t xml:space="preserve"> information</w:t>
      </w:r>
      <w:r w:rsidR="007614BC">
        <w:rPr>
          <w:rFonts w:ascii="Times New Roman" w:hAnsi="Times New Roman"/>
          <w:sz w:val="20"/>
        </w:rPr>
        <w:t xml:space="preserve"> in SIB</w:t>
      </w:r>
      <w:r w:rsidR="00B4742B" w:rsidRPr="00B4742B">
        <w:rPr>
          <w:rFonts w:ascii="Times New Roman" w:hAnsi="Times New Roman"/>
          <w:sz w:val="20"/>
        </w:rPr>
        <w:t>, including whether n</w:t>
      </w:r>
      <w:r w:rsidR="007614BC">
        <w:rPr>
          <w:rFonts w:ascii="Times New Roman" w:hAnsi="Times New Roman"/>
          <w:sz w:val="20"/>
        </w:rPr>
        <w:t>eighbor cells are in sync</w:t>
      </w:r>
      <w:r w:rsidR="00B4742B" w:rsidRPr="00B4742B">
        <w:rPr>
          <w:rFonts w:ascii="Times New Roman" w:hAnsi="Times New Roman"/>
          <w:sz w:val="20"/>
        </w:rPr>
        <w:t>.</w:t>
      </w:r>
      <w:r w:rsidR="00B4742B">
        <w:rPr>
          <w:rFonts w:ascii="Times New Roman" w:hAnsi="Times New Roman"/>
          <w:sz w:val="20"/>
        </w:rPr>
        <w:t xml:space="preserve"> </w:t>
      </w:r>
      <w:r w:rsidRPr="00B4742B">
        <w:rPr>
          <w:rFonts w:ascii="Times New Roman" w:hAnsi="Times New Roman"/>
          <w:sz w:val="20"/>
        </w:rPr>
        <w:t>If UE can skip reading such MIB, UE only needs to acquire the synchronization signals for time/frequency synchronization</w:t>
      </w:r>
      <w:r w:rsidR="00BD49F0">
        <w:rPr>
          <w:rFonts w:ascii="Times New Roman" w:hAnsi="Times New Roman"/>
          <w:sz w:val="20"/>
        </w:rPr>
        <w:t xml:space="preserve"> to derive the physical cell ID of neighbor cells.</w:t>
      </w:r>
      <w:r w:rsidR="00B4742B" w:rsidRPr="00B4742B">
        <w:rPr>
          <w:rFonts w:ascii="Times New Roman" w:hAnsi="Times New Roman"/>
          <w:sz w:val="20"/>
        </w:rPr>
        <w:t xml:space="preserve"> </w:t>
      </w:r>
    </w:p>
    <w:p w14:paraId="13B23D50" w14:textId="429CE463" w:rsidR="00171CBC" w:rsidRPr="00106EEB" w:rsidRDefault="00171CBC" w:rsidP="00106EEB">
      <w:pPr>
        <w:pStyle w:val="ListParagraph"/>
        <w:numPr>
          <w:ilvl w:val="0"/>
          <w:numId w:val="14"/>
        </w:numPr>
        <w:jc w:val="both"/>
        <w:rPr>
          <w:rFonts w:ascii="Times New Roman" w:hAnsi="Times New Roman"/>
          <w:sz w:val="20"/>
        </w:rPr>
      </w:pPr>
      <w:r>
        <w:rPr>
          <w:rFonts w:ascii="Times New Roman" w:hAnsi="Times New Roman"/>
          <w:sz w:val="20"/>
        </w:rPr>
        <w:t>Furthermore, serving cell SIB may contain informa</w:t>
      </w:r>
      <w:r w:rsidR="00BD49F0">
        <w:rPr>
          <w:rFonts w:ascii="Times New Roman" w:hAnsi="Times New Roman"/>
          <w:sz w:val="20"/>
        </w:rPr>
        <w:t>tion to indicate whether the SI (or part of the SI)</w:t>
      </w:r>
      <w:r>
        <w:rPr>
          <w:rFonts w:ascii="Times New Roman" w:hAnsi="Times New Roman"/>
          <w:sz w:val="20"/>
        </w:rPr>
        <w:t xml:space="preserve"> of the neighbor cells is identical to that of the serving cell. This new information may allow UE to skip reading neighbor cell SIB in some deployments; reducing the SI acquisition time.</w:t>
      </w:r>
      <w:r w:rsidR="00555246">
        <w:rPr>
          <w:rFonts w:ascii="Times New Roman" w:hAnsi="Times New Roman"/>
          <w:sz w:val="20"/>
        </w:rPr>
        <w:t xml:space="preserve"> Additionally, even though the SIB of serving cell and neighbor cell is different, the SIB difference can be signaled in serving cell SIB. </w:t>
      </w:r>
    </w:p>
    <w:p w14:paraId="4E20E5C4" w14:textId="77777777" w:rsidR="0091131A" w:rsidRDefault="0091131A" w:rsidP="004C68FE">
      <w:pPr>
        <w:rPr>
          <w:lang w:val="en-GB"/>
        </w:rPr>
      </w:pPr>
    </w:p>
    <w:p w14:paraId="016D02C5" w14:textId="566D45C4" w:rsidR="009D0781" w:rsidRPr="00D00134" w:rsidRDefault="009D0781" w:rsidP="004C68FE">
      <w:pPr>
        <w:rPr>
          <w:b/>
          <w:lang w:eastAsia="ko-KR"/>
        </w:rPr>
      </w:pPr>
      <w:r w:rsidRPr="00D00134">
        <w:rPr>
          <w:b/>
          <w:u w:val="single"/>
          <w:lang w:eastAsia="ko-KR"/>
        </w:rPr>
        <w:t xml:space="preserve">Proposal </w:t>
      </w:r>
      <w:r w:rsidR="007F2889" w:rsidRPr="00D00134">
        <w:rPr>
          <w:b/>
          <w:u w:val="single"/>
          <w:lang w:eastAsia="ko-KR"/>
        </w:rPr>
        <w:t>3</w:t>
      </w:r>
      <w:r w:rsidRPr="00D00134">
        <w:rPr>
          <w:b/>
          <w:u w:val="single"/>
          <w:lang w:eastAsia="ko-KR"/>
        </w:rPr>
        <w:t>:</w:t>
      </w:r>
      <w:r w:rsidR="00D03293" w:rsidRPr="00D00134">
        <w:rPr>
          <w:b/>
          <w:lang w:eastAsia="ko-KR"/>
        </w:rPr>
        <w:t xml:space="preserve"> </w:t>
      </w:r>
      <w:r w:rsidR="000B211D" w:rsidRPr="00D00134">
        <w:rPr>
          <w:b/>
          <w:lang w:eastAsia="ko-KR"/>
        </w:rPr>
        <w:t>SIB</w:t>
      </w:r>
      <w:r w:rsidR="00D964F4" w:rsidRPr="00D00134">
        <w:rPr>
          <w:b/>
          <w:lang w:eastAsia="ko-KR"/>
        </w:rPr>
        <w:t xml:space="preserve"> of the serving cell</w:t>
      </w:r>
      <w:r w:rsidR="000B211D" w:rsidRPr="00D00134">
        <w:rPr>
          <w:b/>
          <w:lang w:eastAsia="ko-KR"/>
        </w:rPr>
        <w:t xml:space="preserve"> contains information </w:t>
      </w:r>
      <w:r w:rsidR="00D03293" w:rsidRPr="00D00134">
        <w:rPr>
          <w:b/>
          <w:lang w:eastAsia="ko-KR"/>
        </w:rPr>
        <w:t>to indicate whether UE can skip reading the MIB</w:t>
      </w:r>
      <w:r w:rsidR="00780429" w:rsidRPr="00D00134">
        <w:rPr>
          <w:b/>
          <w:lang w:eastAsia="ko-KR"/>
        </w:rPr>
        <w:t xml:space="preserve"> from the neighbor cells e.g., SFN of neighbor cell.</w:t>
      </w:r>
    </w:p>
    <w:p w14:paraId="69578932" w14:textId="2C1BF86B" w:rsidR="0064508D" w:rsidRPr="008C3E8B" w:rsidRDefault="008C3E8B" w:rsidP="008C3E8B">
      <w:pPr>
        <w:tabs>
          <w:tab w:val="num" w:pos="1440"/>
          <w:tab w:val="num" w:pos="2160"/>
        </w:tabs>
      </w:pPr>
      <w:r w:rsidRPr="008C3E8B">
        <w:t xml:space="preserve">With different releases, </w:t>
      </w:r>
      <w:proofErr w:type="spellStart"/>
      <w:r w:rsidRPr="008C3E8B">
        <w:t>eNB</w:t>
      </w:r>
      <w:proofErr w:type="spellEnd"/>
      <w:r w:rsidRPr="008C3E8B">
        <w:t xml:space="preserve"> and UE can have different supports/capability</w:t>
      </w:r>
      <w:r>
        <w:t xml:space="preserve"> </w:t>
      </w:r>
      <w:r w:rsidRPr="001D0CB5">
        <w:rPr>
          <w:lang w:val="en-GB"/>
        </w:rPr>
        <w:t xml:space="preserve">e.g. </w:t>
      </w:r>
      <w:proofErr w:type="spellStart"/>
      <w:r w:rsidRPr="001D0CB5">
        <w:rPr>
          <w:lang w:val="en-GB"/>
        </w:rPr>
        <w:t>eMTC</w:t>
      </w:r>
      <w:proofErr w:type="spellEnd"/>
      <w:r w:rsidRPr="001D0CB5">
        <w:rPr>
          <w:lang w:val="en-GB"/>
        </w:rPr>
        <w:t>/</w:t>
      </w:r>
      <w:proofErr w:type="spellStart"/>
      <w:r w:rsidRPr="001D0CB5">
        <w:rPr>
          <w:lang w:val="en-GB"/>
        </w:rPr>
        <w:t>FeMTC</w:t>
      </w:r>
      <w:proofErr w:type="spellEnd"/>
      <w:r w:rsidRPr="001D0CB5">
        <w:rPr>
          <w:lang w:val="en-GB"/>
        </w:rPr>
        <w:t>/</w:t>
      </w:r>
      <w:proofErr w:type="spellStart"/>
      <w:r w:rsidRPr="001D0CB5">
        <w:rPr>
          <w:lang w:val="en-GB"/>
        </w:rPr>
        <w:t>eFeMTC</w:t>
      </w:r>
      <w:proofErr w:type="spellEnd"/>
      <w:r w:rsidRPr="001D0CB5">
        <w:rPr>
          <w:lang w:val="en-GB"/>
        </w:rPr>
        <w:t>, NB-</w:t>
      </w:r>
      <w:proofErr w:type="spellStart"/>
      <w:r w:rsidRPr="001D0CB5">
        <w:rPr>
          <w:lang w:val="en-GB"/>
        </w:rPr>
        <w:t>IoT</w:t>
      </w:r>
      <w:proofErr w:type="spellEnd"/>
      <w:r w:rsidRPr="001D0CB5">
        <w:rPr>
          <w:lang w:val="en-GB"/>
        </w:rPr>
        <w:t>/</w:t>
      </w:r>
      <w:proofErr w:type="spellStart"/>
      <w:r w:rsidRPr="001D0CB5">
        <w:rPr>
          <w:lang w:val="en-GB"/>
        </w:rPr>
        <w:t>eNB-IoT</w:t>
      </w:r>
      <w:proofErr w:type="spellEnd"/>
      <w:r w:rsidRPr="001D0CB5">
        <w:rPr>
          <w:lang w:val="en-GB"/>
        </w:rPr>
        <w:t>/</w:t>
      </w:r>
      <w:proofErr w:type="spellStart"/>
      <w:r w:rsidRPr="001D0CB5">
        <w:rPr>
          <w:lang w:val="en-GB"/>
        </w:rPr>
        <w:t>FeNB-IoT</w:t>
      </w:r>
      <w:proofErr w:type="spellEnd"/>
      <w:r>
        <w:rPr>
          <w:lang w:val="en-GB"/>
        </w:rPr>
        <w:t>.</w:t>
      </w:r>
      <w:r>
        <w:t xml:space="preserve"> </w:t>
      </w:r>
      <w:r w:rsidR="00326A3E" w:rsidRPr="008C3E8B">
        <w:t>It will be beneficial to signal this support both for the serving cell and neighbor cells, so that UE does not need to waste time to acquire a neighbor cell to find out it does not support certain features</w:t>
      </w:r>
      <w:r>
        <w:t xml:space="preserve">. </w:t>
      </w:r>
      <w:r w:rsidR="00326A3E" w:rsidRPr="008C3E8B">
        <w:t xml:space="preserve">For example, the UE is </w:t>
      </w:r>
      <w:proofErr w:type="spellStart"/>
      <w:r w:rsidR="00326A3E" w:rsidRPr="008C3E8B">
        <w:t>eFeMTC</w:t>
      </w:r>
      <w:proofErr w:type="spellEnd"/>
      <w:r w:rsidR="00326A3E" w:rsidRPr="008C3E8B">
        <w:t xml:space="preserve">, but he knows </w:t>
      </w:r>
      <w:proofErr w:type="spellStart"/>
      <w:r w:rsidR="00326A3E" w:rsidRPr="008C3E8B">
        <w:t>eNB</w:t>
      </w:r>
      <w:proofErr w:type="spellEnd"/>
      <w:r w:rsidR="00326A3E" w:rsidRPr="008C3E8B">
        <w:t xml:space="preserve"> is </w:t>
      </w:r>
      <w:proofErr w:type="spellStart"/>
      <w:r w:rsidR="00326A3E" w:rsidRPr="008C3E8B">
        <w:t>FeMTC</w:t>
      </w:r>
      <w:proofErr w:type="spellEnd"/>
      <w:r w:rsidR="00326A3E" w:rsidRPr="008C3E8B">
        <w:t>, then from this signalin</w:t>
      </w:r>
      <w:r>
        <w:t>g, he already knows that he can</w:t>
      </w:r>
      <w:r w:rsidR="00326A3E" w:rsidRPr="008C3E8B">
        <w:t>not perform certain function in the neighbor cell.</w:t>
      </w:r>
    </w:p>
    <w:p w14:paraId="0E038F93" w14:textId="62B8BA91" w:rsidR="001D0CB5" w:rsidRPr="00D00134" w:rsidRDefault="001D0CB5" w:rsidP="004C68FE">
      <w:pPr>
        <w:rPr>
          <w:b/>
          <w:lang w:val="en-GB"/>
        </w:rPr>
      </w:pPr>
      <w:r w:rsidRPr="00D00134">
        <w:rPr>
          <w:b/>
          <w:u w:val="single"/>
          <w:lang w:eastAsia="ko-KR"/>
        </w:rPr>
        <w:t xml:space="preserve">Proposal </w:t>
      </w:r>
      <w:r w:rsidR="00780429" w:rsidRPr="00D00134">
        <w:rPr>
          <w:b/>
          <w:u w:val="single"/>
          <w:lang w:eastAsia="ko-KR"/>
        </w:rPr>
        <w:t>4</w:t>
      </w:r>
      <w:r w:rsidRPr="00D00134">
        <w:rPr>
          <w:b/>
          <w:u w:val="single"/>
          <w:lang w:eastAsia="ko-KR"/>
        </w:rPr>
        <w:t>:</w:t>
      </w:r>
      <w:r w:rsidRPr="00D00134">
        <w:rPr>
          <w:b/>
          <w:lang w:eastAsia="ko-KR"/>
        </w:rPr>
        <w:t xml:space="preserve"> SIB </w:t>
      </w:r>
      <w:r w:rsidR="008E54A8" w:rsidRPr="00D00134">
        <w:rPr>
          <w:b/>
          <w:lang w:eastAsia="ko-KR"/>
        </w:rPr>
        <w:t xml:space="preserve">of the serving cell </w:t>
      </w:r>
      <w:r w:rsidRPr="00D00134">
        <w:rPr>
          <w:b/>
          <w:lang w:eastAsia="ko-KR"/>
        </w:rPr>
        <w:t xml:space="preserve">contains information to indicate </w:t>
      </w:r>
      <w:r w:rsidRPr="00D00134">
        <w:rPr>
          <w:b/>
          <w:lang w:val="en-GB"/>
        </w:rPr>
        <w:t xml:space="preserve">the capability of neighbour cells e.g. </w:t>
      </w:r>
      <w:proofErr w:type="spellStart"/>
      <w:r w:rsidRPr="00D00134">
        <w:rPr>
          <w:b/>
          <w:lang w:val="en-GB"/>
        </w:rPr>
        <w:t>eMTC</w:t>
      </w:r>
      <w:proofErr w:type="spellEnd"/>
      <w:r w:rsidRPr="00D00134">
        <w:rPr>
          <w:b/>
          <w:lang w:val="en-GB"/>
        </w:rPr>
        <w:t>/</w:t>
      </w:r>
      <w:proofErr w:type="spellStart"/>
      <w:r w:rsidRPr="00D00134">
        <w:rPr>
          <w:b/>
          <w:lang w:val="en-GB"/>
        </w:rPr>
        <w:t>FeMTC</w:t>
      </w:r>
      <w:proofErr w:type="spellEnd"/>
      <w:r w:rsidRPr="00D00134">
        <w:rPr>
          <w:b/>
          <w:lang w:val="en-GB"/>
        </w:rPr>
        <w:t>/</w:t>
      </w:r>
      <w:proofErr w:type="spellStart"/>
      <w:r w:rsidRPr="00D00134">
        <w:rPr>
          <w:b/>
          <w:lang w:val="en-GB"/>
        </w:rPr>
        <w:t>eFeMTC</w:t>
      </w:r>
      <w:proofErr w:type="spellEnd"/>
      <w:r w:rsidRPr="00D00134">
        <w:rPr>
          <w:b/>
          <w:lang w:val="en-GB"/>
        </w:rPr>
        <w:t>, NB-</w:t>
      </w:r>
      <w:proofErr w:type="spellStart"/>
      <w:r w:rsidRPr="00D00134">
        <w:rPr>
          <w:b/>
          <w:lang w:val="en-GB"/>
        </w:rPr>
        <w:t>IoT</w:t>
      </w:r>
      <w:proofErr w:type="spellEnd"/>
      <w:r w:rsidRPr="00D00134">
        <w:rPr>
          <w:b/>
          <w:lang w:val="en-GB"/>
        </w:rPr>
        <w:t>/</w:t>
      </w:r>
      <w:proofErr w:type="spellStart"/>
      <w:r w:rsidRPr="00D00134">
        <w:rPr>
          <w:b/>
          <w:lang w:val="en-GB"/>
        </w:rPr>
        <w:t>eNB-IoT</w:t>
      </w:r>
      <w:proofErr w:type="spellEnd"/>
      <w:r w:rsidRPr="00D00134">
        <w:rPr>
          <w:b/>
          <w:lang w:val="en-GB"/>
        </w:rPr>
        <w:t>/</w:t>
      </w:r>
      <w:proofErr w:type="spellStart"/>
      <w:r w:rsidRPr="00D00134">
        <w:rPr>
          <w:b/>
          <w:lang w:val="en-GB"/>
        </w:rPr>
        <w:t>FeNB-IoT</w:t>
      </w:r>
      <w:proofErr w:type="spellEnd"/>
      <w:r w:rsidR="00E4541B" w:rsidRPr="00D00134">
        <w:rPr>
          <w:b/>
          <w:lang w:val="en-GB"/>
        </w:rPr>
        <w:t>.</w:t>
      </w:r>
    </w:p>
    <w:p w14:paraId="43B7F891" w14:textId="77777777" w:rsidR="004503F9" w:rsidRDefault="004503F9" w:rsidP="004503F9">
      <w:pPr>
        <w:pStyle w:val="Heading1"/>
        <w:rPr>
          <w:lang w:eastAsia="zh-CN"/>
        </w:rPr>
      </w:pPr>
      <w:r>
        <w:rPr>
          <w:lang w:eastAsia="zh-CN"/>
        </w:rPr>
        <w:t>Conclusions</w:t>
      </w:r>
    </w:p>
    <w:p w14:paraId="6459D023" w14:textId="27976505" w:rsidR="007517B0" w:rsidRDefault="007517B0" w:rsidP="00D14728">
      <w:pPr>
        <w:rPr>
          <w:lang w:eastAsia="ko-KR"/>
        </w:rPr>
      </w:pPr>
      <w:r>
        <w:rPr>
          <w:lang w:eastAsia="ko-KR"/>
        </w:rPr>
        <w:t xml:space="preserve">The contribution has discussed enhancements </w:t>
      </w:r>
      <w:r w:rsidR="008536B8">
        <w:rPr>
          <w:lang w:eastAsia="ko-KR"/>
        </w:rPr>
        <w:t xml:space="preserve">for </w:t>
      </w:r>
      <w:proofErr w:type="spellStart"/>
      <w:r w:rsidR="008536B8">
        <w:rPr>
          <w:lang w:eastAsia="ko-KR"/>
        </w:rPr>
        <w:t>eMTC</w:t>
      </w:r>
      <w:proofErr w:type="spellEnd"/>
      <w:r w:rsidR="008536B8">
        <w:rPr>
          <w:lang w:eastAsia="ko-KR"/>
        </w:rPr>
        <w:t xml:space="preserve"> </w:t>
      </w:r>
      <w:r>
        <w:rPr>
          <w:lang w:eastAsia="ko-KR"/>
        </w:rPr>
        <w:t>to improve the system information acquisition latency. In particular, the following proposals</w:t>
      </w:r>
      <w:r w:rsidR="00BD49F0">
        <w:rPr>
          <w:lang w:eastAsia="ko-KR"/>
        </w:rPr>
        <w:t xml:space="preserve"> and observations</w:t>
      </w:r>
      <w:r>
        <w:rPr>
          <w:lang w:eastAsia="ko-KR"/>
        </w:rPr>
        <w:t xml:space="preserve"> have been made:</w:t>
      </w:r>
      <w:bookmarkStart w:id="2" w:name="_GoBack"/>
      <w:bookmarkEnd w:id="2"/>
    </w:p>
    <w:p w14:paraId="37F4E545" w14:textId="360E9708" w:rsidR="00BD49F0" w:rsidRPr="00D00134" w:rsidRDefault="00BD49F0" w:rsidP="00BD49F0">
      <w:pPr>
        <w:tabs>
          <w:tab w:val="num" w:pos="1440"/>
        </w:tabs>
        <w:rPr>
          <w:b/>
        </w:rPr>
      </w:pPr>
      <w:r w:rsidRPr="00D00134">
        <w:rPr>
          <w:b/>
          <w:u w:val="single"/>
          <w:lang w:eastAsia="ko-KR"/>
        </w:rPr>
        <w:t>Observation 1:</w:t>
      </w:r>
      <w:r w:rsidRPr="00D00134">
        <w:rPr>
          <w:b/>
        </w:rPr>
        <w:t xml:space="preserve"> Synchronization </w:t>
      </w:r>
      <w:r w:rsidR="00624320" w:rsidRPr="00D00134">
        <w:rPr>
          <w:b/>
        </w:rPr>
        <w:t xml:space="preserve">signals </w:t>
      </w:r>
      <w:r w:rsidRPr="00D00134">
        <w:rPr>
          <w:b/>
        </w:rPr>
        <w:t>and PBCH for NB-</w:t>
      </w:r>
      <w:proofErr w:type="spellStart"/>
      <w:r w:rsidRPr="00D00134">
        <w:rPr>
          <w:b/>
        </w:rPr>
        <w:t>IoT</w:t>
      </w:r>
      <w:proofErr w:type="spellEnd"/>
      <w:r w:rsidRPr="00D00134">
        <w:rPr>
          <w:b/>
        </w:rPr>
        <w:t xml:space="preserve"> are more amenable to operating in low SNR conditions due to ease of power boosting and longer TTI.</w:t>
      </w:r>
    </w:p>
    <w:p w14:paraId="1BA089E3" w14:textId="77777777" w:rsidR="00BD49F0" w:rsidRPr="00D00134" w:rsidRDefault="00BD49F0" w:rsidP="00BD49F0">
      <w:pPr>
        <w:rPr>
          <w:b/>
        </w:rPr>
      </w:pPr>
      <w:r w:rsidRPr="00D00134">
        <w:rPr>
          <w:b/>
          <w:u w:val="single"/>
          <w:lang w:eastAsia="ko-KR"/>
        </w:rPr>
        <w:lastRenderedPageBreak/>
        <w:t>Proposal 1:</w:t>
      </w:r>
      <w:r w:rsidRPr="00D00134">
        <w:rPr>
          <w:b/>
          <w:lang w:eastAsia="ko-KR"/>
        </w:rPr>
        <w:t xml:space="preserve"> Allow an </w:t>
      </w:r>
      <w:proofErr w:type="spellStart"/>
      <w:r w:rsidRPr="00D00134">
        <w:rPr>
          <w:b/>
        </w:rPr>
        <w:t>eMTC</w:t>
      </w:r>
      <w:proofErr w:type="spellEnd"/>
      <w:r w:rsidRPr="00D00134">
        <w:rPr>
          <w:b/>
        </w:rPr>
        <w:t xml:space="preserve"> UE to use NPSS/NSSS/NPBCH to access a cell.</w:t>
      </w:r>
    </w:p>
    <w:p w14:paraId="2600416F" w14:textId="77777777" w:rsidR="00893B9B" w:rsidRPr="00D00134" w:rsidRDefault="00893B9B" w:rsidP="00893B9B">
      <w:pPr>
        <w:jc w:val="both"/>
        <w:rPr>
          <w:b/>
        </w:rPr>
      </w:pPr>
      <w:r w:rsidRPr="00D00134">
        <w:rPr>
          <w:b/>
          <w:u w:val="single"/>
          <w:lang w:eastAsia="ko-KR"/>
        </w:rPr>
        <w:t>Proposal 2:</w:t>
      </w:r>
      <w:r w:rsidRPr="00D00134">
        <w:rPr>
          <w:b/>
          <w:lang w:eastAsia="ko-KR"/>
        </w:rPr>
        <w:t xml:space="preserve"> Consider adding new information in MIB to skip SIB reading.</w:t>
      </w:r>
    </w:p>
    <w:p w14:paraId="1F43BB52" w14:textId="77777777" w:rsidR="00893B9B" w:rsidRPr="00D00134" w:rsidRDefault="00893B9B" w:rsidP="00893B9B">
      <w:pPr>
        <w:rPr>
          <w:b/>
          <w:lang w:eastAsia="ko-KR"/>
        </w:rPr>
      </w:pPr>
      <w:r w:rsidRPr="00D00134">
        <w:rPr>
          <w:b/>
          <w:u w:val="single"/>
          <w:lang w:eastAsia="ko-KR"/>
        </w:rPr>
        <w:t>Proposal 3:</w:t>
      </w:r>
      <w:r w:rsidRPr="00D00134">
        <w:rPr>
          <w:b/>
          <w:lang w:eastAsia="ko-KR"/>
        </w:rPr>
        <w:t xml:space="preserve"> SIB of the serving cell contains information to indicate whether UE can skip reading the MIB from the neighbor cells e.g., SFN of neighbor cell.</w:t>
      </w:r>
    </w:p>
    <w:p w14:paraId="4D9EE929" w14:textId="77777777" w:rsidR="00893B9B" w:rsidRPr="00D00134" w:rsidRDefault="00893B9B" w:rsidP="00893B9B">
      <w:pPr>
        <w:rPr>
          <w:b/>
          <w:lang w:val="en-GB"/>
        </w:rPr>
      </w:pPr>
      <w:r w:rsidRPr="00D00134">
        <w:rPr>
          <w:b/>
          <w:u w:val="single"/>
          <w:lang w:eastAsia="ko-KR"/>
        </w:rPr>
        <w:t>Proposal 4:</w:t>
      </w:r>
      <w:r w:rsidRPr="00D00134">
        <w:rPr>
          <w:b/>
          <w:lang w:eastAsia="ko-KR"/>
        </w:rPr>
        <w:t xml:space="preserve"> SIB of the serving cell contains information to indicate </w:t>
      </w:r>
      <w:r w:rsidRPr="00D00134">
        <w:rPr>
          <w:b/>
          <w:lang w:val="en-GB"/>
        </w:rPr>
        <w:t xml:space="preserve">the capability of neighbour cells e.g. </w:t>
      </w:r>
      <w:proofErr w:type="spellStart"/>
      <w:r w:rsidRPr="00D00134">
        <w:rPr>
          <w:b/>
          <w:lang w:val="en-GB"/>
        </w:rPr>
        <w:t>eMTC</w:t>
      </w:r>
      <w:proofErr w:type="spellEnd"/>
      <w:r w:rsidRPr="00D00134">
        <w:rPr>
          <w:b/>
          <w:lang w:val="en-GB"/>
        </w:rPr>
        <w:t>/</w:t>
      </w:r>
      <w:proofErr w:type="spellStart"/>
      <w:r w:rsidRPr="00D00134">
        <w:rPr>
          <w:b/>
          <w:lang w:val="en-GB"/>
        </w:rPr>
        <w:t>FeMTC</w:t>
      </w:r>
      <w:proofErr w:type="spellEnd"/>
      <w:r w:rsidRPr="00D00134">
        <w:rPr>
          <w:b/>
          <w:lang w:val="en-GB"/>
        </w:rPr>
        <w:t>/</w:t>
      </w:r>
      <w:proofErr w:type="spellStart"/>
      <w:r w:rsidRPr="00D00134">
        <w:rPr>
          <w:b/>
          <w:lang w:val="en-GB"/>
        </w:rPr>
        <w:t>eFeMTC</w:t>
      </w:r>
      <w:proofErr w:type="spellEnd"/>
      <w:r w:rsidRPr="00D00134">
        <w:rPr>
          <w:b/>
          <w:lang w:val="en-GB"/>
        </w:rPr>
        <w:t>, NB-</w:t>
      </w:r>
      <w:proofErr w:type="spellStart"/>
      <w:r w:rsidRPr="00D00134">
        <w:rPr>
          <w:b/>
          <w:lang w:val="en-GB"/>
        </w:rPr>
        <w:t>IoT</w:t>
      </w:r>
      <w:proofErr w:type="spellEnd"/>
      <w:r w:rsidRPr="00D00134">
        <w:rPr>
          <w:b/>
          <w:lang w:val="en-GB"/>
        </w:rPr>
        <w:t>/</w:t>
      </w:r>
      <w:proofErr w:type="spellStart"/>
      <w:r w:rsidRPr="00D00134">
        <w:rPr>
          <w:b/>
          <w:lang w:val="en-GB"/>
        </w:rPr>
        <w:t>eNB-IoT</w:t>
      </w:r>
      <w:proofErr w:type="spellEnd"/>
      <w:r w:rsidRPr="00D00134">
        <w:rPr>
          <w:b/>
          <w:lang w:val="en-GB"/>
        </w:rPr>
        <w:t>/</w:t>
      </w:r>
      <w:proofErr w:type="spellStart"/>
      <w:r w:rsidRPr="00D00134">
        <w:rPr>
          <w:b/>
          <w:lang w:val="en-GB"/>
        </w:rPr>
        <w:t>FeNB-IoT</w:t>
      </w:r>
      <w:proofErr w:type="spellEnd"/>
      <w:r w:rsidRPr="00D00134">
        <w:rPr>
          <w:b/>
          <w:lang w:val="en-GB"/>
        </w:rPr>
        <w:t>.</w:t>
      </w:r>
    </w:p>
    <w:p w14:paraId="43B7F896" w14:textId="77777777" w:rsidR="00E523F3" w:rsidRPr="000A64D8" w:rsidRDefault="00E523F3" w:rsidP="00E11C31">
      <w:pPr>
        <w:pStyle w:val="Heading1"/>
        <w:rPr>
          <w:lang w:val="en-US"/>
        </w:rPr>
      </w:pPr>
      <w:r w:rsidRPr="000A64D8">
        <w:rPr>
          <w:lang w:val="en-US"/>
        </w:rPr>
        <w:t>References</w:t>
      </w:r>
    </w:p>
    <w:p w14:paraId="2004B9DC" w14:textId="78D86C10" w:rsidR="008D78FC" w:rsidRPr="00D23748" w:rsidRDefault="000642AF" w:rsidP="00DF5588">
      <w:pPr>
        <w:numPr>
          <w:ilvl w:val="0"/>
          <w:numId w:val="2"/>
        </w:numPr>
        <w:spacing w:before="100" w:beforeAutospacing="1" w:after="100" w:afterAutospacing="1"/>
        <w:ind w:left="562" w:hanging="562"/>
        <w:rPr>
          <w:szCs w:val="22"/>
        </w:rPr>
      </w:pPr>
      <w:bookmarkStart w:id="3" w:name="_Ref477595337"/>
      <w:bookmarkStart w:id="4" w:name="_Ref430766234"/>
      <w:r w:rsidRPr="00B158AD">
        <w:t>R1-</w:t>
      </w:r>
      <w:r w:rsidRPr="00B158AD">
        <w:rPr>
          <w:bCs/>
        </w:rPr>
        <w:t xml:space="preserve">1701571, LS to RAN1, RAN2 on </w:t>
      </w:r>
      <w:proofErr w:type="spellStart"/>
      <w:r w:rsidRPr="00B158AD">
        <w:rPr>
          <w:bCs/>
        </w:rPr>
        <w:t>eNB-IoT</w:t>
      </w:r>
      <w:proofErr w:type="spellEnd"/>
      <w:r w:rsidRPr="00B158AD">
        <w:rPr>
          <w:bCs/>
        </w:rPr>
        <w:t xml:space="preserve"> SI acquisition delay, RAN4</w:t>
      </w:r>
      <w:bookmarkEnd w:id="3"/>
      <w:bookmarkEnd w:id="4"/>
      <w:r w:rsidR="003A2D67">
        <w:t>.</w:t>
      </w:r>
    </w:p>
    <w:p w14:paraId="30E6ECE2" w14:textId="1F8558B1" w:rsidR="00BD49F0" w:rsidRPr="00D23748" w:rsidRDefault="00BD49F0" w:rsidP="00BD49F0">
      <w:pPr>
        <w:numPr>
          <w:ilvl w:val="0"/>
          <w:numId w:val="2"/>
        </w:numPr>
        <w:spacing w:before="100" w:beforeAutospacing="1" w:after="100" w:afterAutospacing="1"/>
        <w:rPr>
          <w:szCs w:val="22"/>
        </w:rPr>
      </w:pPr>
      <w:r w:rsidRPr="00BD49F0">
        <w:rPr>
          <w:szCs w:val="22"/>
        </w:rPr>
        <w:t>RP-170852</w:t>
      </w:r>
      <w:r>
        <w:rPr>
          <w:szCs w:val="22"/>
        </w:rPr>
        <w:t>, “</w:t>
      </w:r>
      <w:r w:rsidRPr="00BD49F0">
        <w:rPr>
          <w:szCs w:val="22"/>
        </w:rPr>
        <w:t>New WID on Further NB-</w:t>
      </w:r>
      <w:proofErr w:type="spellStart"/>
      <w:r w:rsidRPr="00BD49F0">
        <w:rPr>
          <w:szCs w:val="22"/>
        </w:rPr>
        <w:t>IoT</w:t>
      </w:r>
      <w:proofErr w:type="spellEnd"/>
      <w:r w:rsidRPr="00BD49F0">
        <w:rPr>
          <w:szCs w:val="22"/>
        </w:rPr>
        <w:t xml:space="preserve"> enhancements</w:t>
      </w:r>
      <w:r>
        <w:rPr>
          <w:szCs w:val="22"/>
        </w:rPr>
        <w:t>”</w:t>
      </w:r>
    </w:p>
    <w:sectPr w:rsidR="00BD49F0" w:rsidRPr="00D23748" w:rsidSect="00671B4F">
      <w:headerReference w:type="even" r:id="rId14"/>
      <w:footerReference w:type="even"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4E0D8" w14:textId="77777777" w:rsidR="008667D3" w:rsidRDefault="008667D3">
      <w:r>
        <w:separator/>
      </w:r>
    </w:p>
  </w:endnote>
  <w:endnote w:type="continuationSeparator" w:id="0">
    <w:p w14:paraId="6B86B5C8" w14:textId="77777777" w:rsidR="008667D3" w:rsidRDefault="008667D3">
      <w:r>
        <w:continuationSeparator/>
      </w:r>
    </w:p>
  </w:endnote>
  <w:endnote w:type="continuationNotice" w:id="1">
    <w:p w14:paraId="4405156E" w14:textId="77777777" w:rsidR="008667D3" w:rsidRDefault="008667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B32E1" w14:textId="77777777" w:rsidR="008667D3" w:rsidRDefault="008667D3">
      <w:r>
        <w:separator/>
      </w:r>
    </w:p>
  </w:footnote>
  <w:footnote w:type="continuationSeparator" w:id="0">
    <w:p w14:paraId="3F2533ED" w14:textId="77777777" w:rsidR="008667D3" w:rsidRDefault="008667D3">
      <w:r>
        <w:continuationSeparator/>
      </w:r>
    </w:p>
  </w:footnote>
  <w:footnote w:type="continuationNotice" w:id="1">
    <w:p w14:paraId="413BBF0F" w14:textId="77777777" w:rsidR="008667D3" w:rsidRDefault="008667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0"/>
  </w:num>
  <w:num w:numId="3">
    <w:abstractNumId w:val="3"/>
  </w:num>
  <w:num w:numId="4">
    <w:abstractNumId w:val="9"/>
  </w:num>
  <w:num w:numId="5">
    <w:abstractNumId w:val="4"/>
  </w:num>
  <w:num w:numId="6">
    <w:abstractNumId w:val="5"/>
  </w:num>
  <w:num w:numId="7">
    <w:abstractNumId w:val="7"/>
  </w:num>
  <w:num w:numId="8">
    <w:abstractNumId w:val="2"/>
  </w:num>
  <w:num w:numId="9">
    <w:abstractNumId w:val="14"/>
    <w:lvlOverride w:ilvl="0">
      <w:startOverride w:val="1"/>
    </w:lvlOverride>
  </w:num>
  <w:num w:numId="10">
    <w:abstractNumId w:val="11"/>
  </w:num>
  <w:num w:numId="11">
    <w:abstractNumId w:val="13"/>
  </w:num>
  <w:num w:numId="12">
    <w:abstractNumId w:val="6"/>
  </w:num>
  <w:num w:numId="13">
    <w:abstractNumId w:val="1"/>
  </w:num>
  <w:num w:numId="14">
    <w:abstractNumId w:val="12"/>
  </w:num>
  <w:num w:numId="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120"/>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B7E"/>
    <w:rsid w:val="00205CB2"/>
    <w:rsid w:val="00205D98"/>
    <w:rsid w:val="0020610B"/>
    <w:rsid w:val="0020618F"/>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D67"/>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D28"/>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6F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DD8"/>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20"/>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08D"/>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4B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42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D3"/>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03"/>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9B"/>
    <w:rsid w:val="00893BA4"/>
    <w:rsid w:val="00893DB3"/>
    <w:rsid w:val="008941BA"/>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AE8"/>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4A8"/>
    <w:rsid w:val="008E5625"/>
    <w:rsid w:val="008E5B5F"/>
    <w:rsid w:val="008E5C97"/>
    <w:rsid w:val="008E5D5A"/>
    <w:rsid w:val="008E624A"/>
    <w:rsid w:val="008E6788"/>
    <w:rsid w:val="008E6D73"/>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2F20"/>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42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9F0"/>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CB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3DE7"/>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74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61"/>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134"/>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748"/>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0D"/>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49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854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HR33RHYHUWRF-4-2101</_dlc_DocId>
    <_dlc_DocIdUrl xmlns="c06861ca-3f08-4d07-bff7-bb15bac121f4">
      <Url>https://projects.qualcomm.com/sites/pentari/_layouts/15/DocIdRedir.aspx?ID=HR33RHYHUWRF-4-2101</Url>
      <Description>HR33RHYHUWRF-4-2101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44DE045-A905-4EDF-93C7-3C8DF878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Rico Alvarino, Alberto</cp:lastModifiedBy>
  <cp:revision>4</cp:revision>
  <cp:lastPrinted>2014-11-07T05:38:00Z</cp:lastPrinted>
  <dcterms:created xsi:type="dcterms:W3CDTF">2017-03-25T02:40:00Z</dcterms:created>
  <dcterms:modified xsi:type="dcterms:W3CDTF">2017-03-25T02:45:00Z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4c65cf98-c656-46e9-aab5-59282c9fafb7</vt:lpwstr>
  </property>
</Properties>
</file>